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b/>
          <w:color w:val="FF0000"/>
          <w:sz w:val="87"/>
          <w:szCs w:val="71"/>
        </w:rPr>
      </w:pPr>
      <w:r>
        <w:rPr>
          <w:rFonts w:eastAsia="黑体"/>
          <w:b/>
          <w:sz w:val="3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904240</wp:posOffset>
                </wp:positionV>
                <wp:extent cx="6073140" cy="0"/>
                <wp:effectExtent l="0" t="28575" r="3810" b="28575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15.4pt;margin-top:71.2pt;height:0pt;width:478.2pt;z-index:251659264;mso-width-relative:page;mso-height-relative:page;" filled="f" stroked="t" coordsize="21600,21600" o:gfxdata="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Blbl1gAAAAsBAAAPAAAAAAAAAAEAIAAA&#10;ACIAAABkcnMvZG93bnJldi54bWxQSwECFAAUAAAACACHTuJAyDVxcNUBAACVAwAADgAAAAAAAAAB&#10;ACAAAAAlAQAAZHJzL2Uyb0RvYy54bWxQSwUGAAAAAAYABgBZAQAAb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b/>
          <w:color w:val="FF0000"/>
          <w:sz w:val="81"/>
          <w:szCs w:val="71"/>
        </w:rPr>
        <w:t>四川省地方志工作办公室</w:t>
      </w:r>
    </w:p>
    <w:p>
      <w:pPr>
        <w:wordWrap w:val="0"/>
        <w:jc w:val="right"/>
      </w:pPr>
      <w:r>
        <w:t>川志函〔2018〕</w:t>
      </w:r>
      <w:r>
        <w:rPr>
          <w:rFonts w:hint="eastAsia"/>
          <w:lang w:val="en-US" w:eastAsia="zh-CN"/>
        </w:rPr>
        <w:t>74</w:t>
      </w:r>
      <w:r>
        <w:t>号</w:t>
      </w:r>
    </w:p>
    <w:p>
      <w:pPr>
        <w:adjustRightInd w:val="0"/>
        <w:snapToGrid w:val="0"/>
        <w:spacing w:line="640" w:lineRule="exact"/>
        <w:jc w:val="both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四川省地方志工作办公室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关于2018年第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季度各市（州）地方志工作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机构报送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地情文章</w:t>
      </w:r>
      <w:r>
        <w:rPr>
          <w:rFonts w:hint="eastAsia" w:ascii="方正小标宋简体" w:eastAsia="方正小标宋简体"/>
          <w:sz w:val="44"/>
          <w:szCs w:val="44"/>
        </w:rPr>
        <w:t>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信息采用情况的通报</w:t>
      </w:r>
    </w:p>
    <w:p/>
    <w:p>
      <w:r>
        <w:t>各市（州）地方志</w:t>
      </w:r>
      <w:r>
        <w:rPr>
          <w:rFonts w:hint="eastAsia"/>
        </w:rPr>
        <w:t>（工作）</w:t>
      </w:r>
      <w:r>
        <w:t>办公室：</w:t>
      </w:r>
      <w:r>
        <w:rPr>
          <w:rFonts w:hint="eastAsia"/>
          <w:lang w:val="en-US" w:eastAsia="zh-CN"/>
        </w:rPr>
        <w:t xml:space="preserve"> </w:t>
      </w:r>
    </w:p>
    <w:p>
      <w:r>
        <w:t xml:space="preserve">    现将2018年第</w:t>
      </w:r>
      <w:r>
        <w:rPr>
          <w:rFonts w:hint="eastAsia"/>
          <w:lang w:val="en-US" w:eastAsia="zh-CN"/>
        </w:rPr>
        <w:t>三</w:t>
      </w:r>
      <w:r>
        <w:t>季度各市（州）地方志</w:t>
      </w:r>
      <w:r>
        <w:rPr>
          <w:rFonts w:hint="eastAsia"/>
        </w:rPr>
        <w:t>工作</w:t>
      </w:r>
      <w:r>
        <w:t>机构报送</w:t>
      </w:r>
      <w:r>
        <w:rPr>
          <w:rFonts w:hint="eastAsia"/>
          <w:lang w:val="en-US" w:eastAsia="zh-CN"/>
        </w:rPr>
        <w:t>地情</w:t>
      </w:r>
      <w:r>
        <w:t>文章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工作</w:t>
      </w:r>
      <w:r>
        <w:t>信息</w:t>
      </w:r>
      <w:r>
        <w:rPr>
          <w:rFonts w:hint="eastAsia"/>
        </w:rPr>
        <w:t>及</w:t>
      </w:r>
      <w:r>
        <w:t>采用情况通报如下（见附件）。</w:t>
      </w:r>
    </w:p>
    <w:p>
      <w:pPr>
        <w:ind w:firstLine="640"/>
        <w:rPr>
          <w:rFonts w:hint="eastAsia"/>
          <w:lang w:val="en-US" w:eastAsia="zh-CN"/>
        </w:rPr>
      </w:pPr>
      <w:r>
        <w:t>2018年第</w:t>
      </w:r>
      <w:r>
        <w:rPr>
          <w:rFonts w:hint="eastAsia"/>
          <w:lang w:val="en-US" w:eastAsia="zh-CN"/>
        </w:rPr>
        <w:t>三</w:t>
      </w:r>
      <w:r>
        <w:t>季度，省地方志办收到各市（州）报送</w:t>
      </w:r>
      <w:r>
        <w:rPr>
          <w:rFonts w:hint="eastAsia"/>
          <w:lang w:val="en-US" w:eastAsia="zh-CN"/>
        </w:rPr>
        <w:t>地情文章267篇，报送工作信息484条。《资政参阅》《</w:t>
      </w:r>
      <w:r>
        <w:rPr>
          <w:rFonts w:hint="eastAsia"/>
        </w:rPr>
        <w:t>四川省地方志</w:t>
      </w:r>
      <w:r>
        <w:t>工作简报</w:t>
      </w:r>
      <w:r>
        <w:rPr>
          <w:rFonts w:hint="eastAsia"/>
          <w:lang w:eastAsia="zh-CN"/>
        </w:rPr>
        <w:t>》</w:t>
      </w:r>
      <w:r>
        <w:t>《巴蜀史志》、四川省地方志网站、“方志四川”微信公众号共采用（发布）</w:t>
      </w:r>
      <w:r>
        <w:rPr>
          <w:rFonts w:hint="eastAsia"/>
          <w:lang w:val="en-US" w:eastAsia="zh-CN"/>
        </w:rPr>
        <w:t>地情文章79篇、采用（发布）工作信息426条</w:t>
      </w:r>
      <w:r>
        <w:t>。从报送和采用情况看，各市（州）地方志工作机构</w:t>
      </w:r>
      <w:r>
        <w:rPr>
          <w:rFonts w:hint="eastAsia"/>
          <w:lang w:val="en-US" w:eastAsia="zh-CN"/>
        </w:rPr>
        <w:t>地情</w:t>
      </w:r>
      <w:r>
        <w:t>文章和</w:t>
      </w:r>
      <w:r>
        <w:rPr>
          <w:rFonts w:hint="eastAsia"/>
          <w:lang w:val="en-US" w:eastAsia="zh-CN"/>
        </w:rPr>
        <w:t>工作</w:t>
      </w:r>
      <w:r>
        <w:t>信息报送工作</w:t>
      </w:r>
      <w:r>
        <w:rPr>
          <w:rFonts w:hint="eastAsia"/>
          <w:lang w:val="en-US" w:eastAsia="zh-CN"/>
        </w:rPr>
        <w:t>较前两个季度，报送量和采用量都有很大提高，但仍存在市（州）报送数量不平衡问题。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64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省地方志办于今年5月和8月分别发出《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</w:rPr>
        <w:t>关于挖掘整理传统村落相关资料的函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</w:rPr>
        <w:t>川志函〔2018〕31号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</w:rPr>
        <w:t>关于开展地理标志保护产品等宣传文章组稿工作的通知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</w:rPr>
        <w:t>川志函2018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</w:rPr>
        <w:t xml:space="preserve"> 〕66号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截至目前，还有一些市州没有报来稿件，请各地再作安排，积极组稿报送。</w:t>
      </w:r>
    </w:p>
    <w:p>
      <w:pPr>
        <w:ind w:firstLine="640"/>
      </w:pPr>
      <w:r>
        <w:t>从今年开始，省地方志办将对市（州）报送文章和信息实行季度通报制，</w:t>
      </w:r>
      <w:r>
        <w:rPr>
          <w:rFonts w:hint="eastAsia"/>
          <w:lang w:val="en-US" w:eastAsia="zh-CN"/>
        </w:rPr>
        <w:t>地情</w:t>
      </w:r>
      <w:r>
        <w:t>文章、</w:t>
      </w:r>
      <w:r>
        <w:rPr>
          <w:rFonts w:hint="eastAsia"/>
          <w:lang w:val="en-US" w:eastAsia="zh-CN"/>
        </w:rPr>
        <w:t>工作</w:t>
      </w:r>
      <w:r>
        <w:t>信息报送和采用数量将作为</w:t>
      </w:r>
      <w:r>
        <w:rPr>
          <w:rFonts w:hint="eastAsia"/>
          <w:lang w:eastAsia="zh-CN"/>
        </w:rPr>
        <w:t>年度市（州）地方志工作考核</w:t>
      </w:r>
      <w:r>
        <w:t>参考依据之一。</w:t>
      </w:r>
      <w:r>
        <w:rPr>
          <w:rFonts w:hint="eastAsia"/>
          <w:lang w:eastAsia="zh-CN"/>
        </w:rPr>
        <w:t>请</w:t>
      </w:r>
      <w:r>
        <w:t>各市（州）地方志</w:t>
      </w:r>
      <w:r>
        <w:rPr>
          <w:rFonts w:hint="eastAsia"/>
        </w:rPr>
        <w:t>工作</w:t>
      </w:r>
      <w:r>
        <w:t>机构</w:t>
      </w:r>
      <w:r>
        <w:rPr>
          <w:rFonts w:hint="eastAsia"/>
          <w:lang w:eastAsia="zh-CN"/>
        </w:rPr>
        <w:t>切实做好相关工作。</w:t>
      </w:r>
    </w:p>
    <w:p>
      <w:r>
        <w:rPr>
          <w:rFonts w:hint="eastAsia"/>
          <w:lang w:val="en-US" w:eastAsia="zh-CN"/>
        </w:rPr>
        <w:t xml:space="preserve">    各地在报送材料时，请严格按2018年5月31日《四川省地方志工作办公室关于</w:t>
      </w:r>
      <w:bookmarkStart w:id="0" w:name="OLE_LINK1"/>
      <w:r>
        <w:rPr>
          <w:rFonts w:hint="eastAsia"/>
          <w:lang w:val="en-US" w:eastAsia="zh-CN"/>
        </w:rPr>
        <w:t>规范信息报送渠道的通知</w:t>
      </w:r>
      <w:bookmarkEnd w:id="0"/>
      <w:r>
        <w:rPr>
          <w:rFonts w:hint="eastAsia"/>
          <w:lang w:val="en-US" w:eastAsia="zh-CN"/>
        </w:rPr>
        <w:t>》要求，勿多头报送，以免出现漏报或重复报送情况。</w:t>
      </w:r>
    </w:p>
    <w:p>
      <w:pPr>
        <w:ind w:left="1600" w:hanging="16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left="1600" w:hanging="16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t>附件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1. </w:t>
      </w:r>
      <w:r>
        <w:t>2018年第</w:t>
      </w:r>
      <w:r>
        <w:rPr>
          <w:rFonts w:hint="eastAsia"/>
          <w:lang w:val="en-US" w:eastAsia="zh-CN"/>
        </w:rPr>
        <w:t>三</w:t>
      </w:r>
      <w:r>
        <w:t>季度各市（州）地方志</w:t>
      </w:r>
      <w:r>
        <w:rPr>
          <w:rFonts w:hint="eastAsia"/>
        </w:rPr>
        <w:t>工作</w:t>
      </w:r>
      <w:r>
        <w:t>机构报送</w:t>
      </w:r>
      <w:r>
        <w:rPr>
          <w:rFonts w:hint="eastAsia"/>
          <w:lang w:val="en-US" w:eastAsia="zh-CN"/>
        </w:rPr>
        <w:t xml:space="preserve">地  </w:t>
      </w:r>
    </w:p>
    <w:p>
      <w:pPr>
        <w:ind w:left="1600" w:hanging="16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情</w:t>
      </w:r>
      <w:r>
        <w:t>文章</w:t>
      </w:r>
      <w:r>
        <w:rPr>
          <w:rFonts w:hint="eastAsia"/>
          <w:lang w:val="en-US" w:eastAsia="zh-CN"/>
        </w:rPr>
        <w:t>及</w:t>
      </w:r>
      <w:r>
        <w:t>采用情况</w:t>
      </w:r>
      <w:r>
        <w:rPr>
          <w:rFonts w:hint="eastAsia"/>
          <w:lang w:val="en-US" w:eastAsia="zh-CN"/>
        </w:rPr>
        <w:t xml:space="preserve">  </w:t>
      </w:r>
    </w:p>
    <w:p>
      <w:pPr>
        <w:ind w:left="1600" w:hanging="16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2. </w:t>
      </w:r>
      <w:r>
        <w:t>2018年第</w:t>
      </w:r>
      <w:r>
        <w:rPr>
          <w:rFonts w:hint="eastAsia"/>
          <w:lang w:val="en-US" w:eastAsia="zh-CN"/>
        </w:rPr>
        <w:t>三</w:t>
      </w:r>
      <w:r>
        <w:t>季度各市（州）地方志</w:t>
      </w:r>
      <w:r>
        <w:rPr>
          <w:rFonts w:hint="eastAsia"/>
        </w:rPr>
        <w:t>工作</w:t>
      </w:r>
      <w:r>
        <w:t>机构报送</w:t>
      </w:r>
      <w:r>
        <w:rPr>
          <w:rFonts w:hint="eastAsia"/>
          <w:lang w:val="en-US" w:eastAsia="zh-CN"/>
        </w:rPr>
        <w:t>工</w:t>
      </w:r>
    </w:p>
    <w:p>
      <w:pPr>
        <w:ind w:left="1600" w:hanging="1600" w:hangingChars="5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作信息及</w:t>
      </w:r>
      <w:r>
        <w:t>采用情况</w:t>
      </w:r>
      <w:r>
        <w:rPr>
          <w:rFonts w:hint="eastAsia"/>
          <w:lang w:val="en-US" w:eastAsia="zh-CN"/>
        </w:rPr>
        <w:t xml:space="preserve">  </w:t>
      </w:r>
    </w:p>
    <w:p/>
    <w:p/>
    <w:p>
      <w:r>
        <w:rPr>
          <w:rFonts w:hint="eastAsia"/>
        </w:rPr>
        <w:t xml:space="preserve"> 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</w:t>
      </w:r>
      <w:r>
        <w:t>四川省地方志工作办公室</w:t>
      </w:r>
    </w:p>
    <w:p>
      <w:r>
        <w:rPr>
          <w:rFonts w:hint="eastAsia"/>
        </w:rPr>
        <w:t xml:space="preserve">                                 </w:t>
      </w:r>
      <w:r>
        <w:t>2018年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25</w:t>
      </w:r>
      <w:r>
        <w:t>日</w:t>
      </w:r>
    </w:p>
    <w:p>
      <w:pPr>
        <w:sectPr>
          <w:footerReference r:id="rId4" w:type="first"/>
          <w:footerReference r:id="rId3" w:type="default"/>
          <w:pgSz w:w="11906" w:h="16838"/>
          <w:pgMar w:top="2041" w:right="1361" w:bottom="2041" w:left="1531" w:header="851" w:footer="1814" w:gutter="0"/>
          <w:cols w:space="0" w:num="1"/>
          <w:rtlGutter w:val="0"/>
          <w:docGrid w:type="lines" w:linePitch="579" w:charSpace="0"/>
        </w:sectPr>
      </w:pPr>
      <w:r>
        <w:br w:type="textWrapping"/>
      </w:r>
      <w:r>
        <w:br w:type="textWrapping"/>
      </w:r>
    </w:p>
    <w:p/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ind w:firstLine="320" w:firstLineChars="100"/>
        <w:rPr>
          <w:rFonts w:ascii="仿宋" w:hAnsi="仿宋" w:eastAsia="仿宋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信息公开选项</w:t>
      </w:r>
      <w:r>
        <w:rPr>
          <w:rFonts w:hint="eastAsia" w:eastAsia="仿宋"/>
          <w:color w:val="000000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color w:val="000000"/>
          <w:szCs w:val="32"/>
        </w:rPr>
        <w:t>主动公开</w:t>
      </w:r>
    </w:p>
    <w:p>
      <w:pPr>
        <w:ind w:firstLine="280" w:firstLineChars="100"/>
        <w:rPr>
          <w:w w:val="95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365125</wp:posOffset>
                </wp:positionV>
                <wp:extent cx="5800090" cy="0"/>
                <wp:effectExtent l="0" t="0" r="0" b="0"/>
                <wp:wrapNone/>
                <wp:docPr id="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-1.3pt;margin-top:28.75pt;height:0pt;width:456.7pt;z-index:251667456;mso-width-relative:page;mso-height-relative:page;" filled="f" stroked="t" coordsize="21600,21600" o:gfxdata="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Y+7hbWAAAACAEAAA8AAAAAAAAAAQAgAAAAIgAAAGRy&#10;cy9kb3ducmV2LnhtbFBLAQIUABQAAAAIAIdO4kCwpF3L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580009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45pt;margin-top:2.55pt;height:0pt;width:456.7pt;z-index:251663360;mso-width-relative:page;mso-height-relative:page;" filled="f" stroked="t" coordsize="21600,21600" o:gfxdata="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XfxH9MAAAAFAQAADwAAAAAAAAABACAAAAAiAAAAZHJzL2Rv&#10;d25yZXYueG1sUEsBAhQAFAAAAAgAh07iQOU6l67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w w:val="95"/>
          <w:sz w:val="28"/>
          <w:szCs w:val="28"/>
        </w:rPr>
        <w:t>抄送：机关各处</w:t>
      </w:r>
      <w:r>
        <w:rPr>
          <w:rFonts w:hint="eastAsia"/>
          <w:w w:val="95"/>
          <w:sz w:val="28"/>
          <w:szCs w:val="28"/>
          <w:lang w:eastAsia="zh-CN"/>
        </w:rPr>
        <w:t>，</w:t>
      </w:r>
      <w:r>
        <w:rPr>
          <w:rFonts w:hint="eastAsia"/>
          <w:w w:val="95"/>
          <w:sz w:val="28"/>
          <w:szCs w:val="28"/>
        </w:rPr>
        <w:t>四川年鉴社。</w:t>
      </w:r>
    </w:p>
    <w:p>
      <w:pPr>
        <w:ind w:firstLine="280" w:firstLineChars="100"/>
        <w:rPr>
          <w:w w:val="95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379730</wp:posOffset>
                </wp:positionV>
                <wp:extent cx="5800090" cy="0"/>
                <wp:effectExtent l="0" t="0" r="0" b="0"/>
                <wp:wrapNone/>
                <wp:docPr id="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-2.25pt;margin-top:29.9pt;height:0pt;width:456.7pt;z-index:251662336;mso-width-relative:page;mso-height-relative:page;" filled="f" stroked="t" coordsize="21600,21600" o:gfxdata="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2UE4zWAAAACAEAAA8AAAAAAAAAAQAgAAAAIgAAAGRy&#10;cy9kb3ducmV2LnhtbFBLAQIUABQAAAAIAIdO4kCV2Mql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  <w:sz w:val="28"/>
          <w:szCs w:val="28"/>
        </w:rPr>
        <w:t xml:space="preserve">四川省地方志工作办公室综合处        </w:t>
      </w:r>
      <w:r>
        <w:rPr>
          <w:rFonts w:hint="eastAsia"/>
          <w:w w:val="95"/>
          <w:sz w:val="28"/>
          <w:szCs w:val="28"/>
        </w:rPr>
        <w:t xml:space="preserve">         </w:t>
      </w:r>
      <w:r>
        <w:rPr>
          <w:w w:val="95"/>
          <w:sz w:val="28"/>
          <w:szCs w:val="28"/>
        </w:rPr>
        <w:t>2018年</w:t>
      </w:r>
      <w:r>
        <w:rPr>
          <w:rFonts w:hint="eastAsia"/>
          <w:w w:val="95"/>
          <w:sz w:val="28"/>
          <w:szCs w:val="28"/>
          <w:lang w:val="en-US" w:eastAsia="zh-CN"/>
        </w:rPr>
        <w:t>10</w:t>
      </w:r>
      <w:r>
        <w:rPr>
          <w:w w:val="95"/>
          <w:sz w:val="28"/>
          <w:szCs w:val="28"/>
        </w:rPr>
        <w:t>月</w:t>
      </w:r>
      <w:r>
        <w:rPr>
          <w:rFonts w:hint="eastAsia"/>
          <w:w w:val="95"/>
          <w:sz w:val="28"/>
          <w:szCs w:val="28"/>
          <w:lang w:val="en-US" w:eastAsia="zh-CN"/>
        </w:rPr>
        <w:t>26</w:t>
      </w:r>
      <w:r>
        <w:rPr>
          <w:w w:val="95"/>
          <w:sz w:val="28"/>
          <w:szCs w:val="28"/>
        </w:rPr>
        <w:t>日印发</w:t>
      </w:r>
    </w:p>
    <w:p>
      <w:pPr>
        <w:ind w:firstLine="266" w:firstLineChars="100"/>
        <w:jc w:val="right"/>
        <w:rPr>
          <w:sz w:val="28"/>
          <w:szCs w:val="28"/>
        </w:rPr>
      </w:pPr>
      <w:r>
        <w:rPr>
          <w:rFonts w:hint="eastAsia"/>
          <w:w w:val="95"/>
          <w:sz w:val="28"/>
          <w:szCs w:val="28"/>
        </w:rPr>
        <w:t>（共印</w:t>
      </w:r>
      <w:r>
        <w:rPr>
          <w:rFonts w:hint="eastAsia"/>
          <w:w w:val="95"/>
          <w:sz w:val="28"/>
          <w:szCs w:val="28"/>
          <w:lang w:val="en-US" w:eastAsia="zh-CN"/>
        </w:rPr>
        <w:t>8</w:t>
      </w:r>
      <w:r>
        <w:rPr>
          <w:rFonts w:hint="eastAsia"/>
          <w:w w:val="95"/>
          <w:sz w:val="28"/>
          <w:szCs w:val="28"/>
        </w:rPr>
        <w:t>份）</w:t>
      </w:r>
    </w:p>
    <w:sectPr>
      <w:footerReference r:id="rId5" w:type="default"/>
      <w:pgSz w:w="11906" w:h="16838"/>
      <w:pgMar w:top="1531" w:right="1418" w:bottom="1531" w:left="1418" w:header="851" w:footer="1134" w:gutter="0"/>
      <w:cols w:space="720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ZwDjC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g&#10;3n/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trackRevisions w:val="1"/>
  <w:documentProtection w:enforcement="0"/>
  <w:defaultTabStop w:val="420"/>
  <w:drawingGridHorizontalSpacing w:val="16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CC"/>
    <w:rsid w:val="00023212"/>
    <w:rsid w:val="0005028C"/>
    <w:rsid w:val="000859F3"/>
    <w:rsid w:val="000D51E0"/>
    <w:rsid w:val="001A6862"/>
    <w:rsid w:val="001D2A42"/>
    <w:rsid w:val="001F474B"/>
    <w:rsid w:val="00214A31"/>
    <w:rsid w:val="002B35F5"/>
    <w:rsid w:val="00341C57"/>
    <w:rsid w:val="00362061"/>
    <w:rsid w:val="003A42ED"/>
    <w:rsid w:val="004018FB"/>
    <w:rsid w:val="00431D32"/>
    <w:rsid w:val="004345CC"/>
    <w:rsid w:val="00462C26"/>
    <w:rsid w:val="00464955"/>
    <w:rsid w:val="00482EF5"/>
    <w:rsid w:val="00526FF5"/>
    <w:rsid w:val="005313D9"/>
    <w:rsid w:val="005B2471"/>
    <w:rsid w:val="00613AFC"/>
    <w:rsid w:val="0066007B"/>
    <w:rsid w:val="006764D5"/>
    <w:rsid w:val="00690E47"/>
    <w:rsid w:val="007A6B38"/>
    <w:rsid w:val="007E70B3"/>
    <w:rsid w:val="008B16A4"/>
    <w:rsid w:val="008B30AA"/>
    <w:rsid w:val="008F7AF2"/>
    <w:rsid w:val="00992A43"/>
    <w:rsid w:val="009D31BB"/>
    <w:rsid w:val="009F3DE2"/>
    <w:rsid w:val="00A134CC"/>
    <w:rsid w:val="00A64D69"/>
    <w:rsid w:val="00B07CB3"/>
    <w:rsid w:val="00B10347"/>
    <w:rsid w:val="00B76264"/>
    <w:rsid w:val="00BA41FC"/>
    <w:rsid w:val="00C0280E"/>
    <w:rsid w:val="00C03DF9"/>
    <w:rsid w:val="00C51BA7"/>
    <w:rsid w:val="00C7020D"/>
    <w:rsid w:val="00C75AFB"/>
    <w:rsid w:val="00C80CED"/>
    <w:rsid w:val="00CE06E5"/>
    <w:rsid w:val="00E31707"/>
    <w:rsid w:val="00EB7110"/>
    <w:rsid w:val="00ED5620"/>
    <w:rsid w:val="00F57E8D"/>
    <w:rsid w:val="00F73773"/>
    <w:rsid w:val="047D599B"/>
    <w:rsid w:val="060536ED"/>
    <w:rsid w:val="0F0129B3"/>
    <w:rsid w:val="13F36B57"/>
    <w:rsid w:val="182137A4"/>
    <w:rsid w:val="184F407E"/>
    <w:rsid w:val="1CBB50E1"/>
    <w:rsid w:val="30756864"/>
    <w:rsid w:val="4116782D"/>
    <w:rsid w:val="41FB4080"/>
    <w:rsid w:val="445F2CD3"/>
    <w:rsid w:val="47867417"/>
    <w:rsid w:val="48EF06F1"/>
    <w:rsid w:val="4ADE194F"/>
    <w:rsid w:val="4D8343FE"/>
    <w:rsid w:val="56597996"/>
    <w:rsid w:val="5FBF3545"/>
    <w:rsid w:val="5FCD3D57"/>
    <w:rsid w:val="729F055A"/>
    <w:rsid w:val="7D6C00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widowControl/>
      <w:adjustRightInd w:val="0"/>
      <w:snapToGrid w:val="0"/>
      <w:spacing w:after="200"/>
      <w:ind w:left="100" w:leftChars="2500"/>
      <w:jc w:val="left"/>
    </w:pPr>
    <w:rPr>
      <w:rFonts w:ascii="Tahoma" w:hAnsi="Tahoma"/>
      <w:szCs w:val="22"/>
    </w:rPr>
  </w:style>
  <w:style w:type="paragraph" w:styleId="5">
    <w:name w:val="Body Text Indent 2"/>
    <w:basedOn w:val="1"/>
    <w:link w:val="13"/>
    <w:qFormat/>
    <w:uiPriority w:val="0"/>
    <w:pPr>
      <w:snapToGrid w:val="0"/>
      <w:spacing w:line="384" w:lineRule="auto"/>
      <w:ind w:firstLine="612"/>
    </w:pPr>
    <w:rPr>
      <w:rFonts w:ascii="黑体" w:eastAsia="黑体"/>
      <w:b/>
      <w:sz w:val="30"/>
      <w:szCs w:val="20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脚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"/>
    <w:basedOn w:val="8"/>
    <w:link w:val="5"/>
    <w:qFormat/>
    <w:uiPriority w:val="0"/>
    <w:rPr>
      <w:rFonts w:ascii="黑体" w:hAnsi="Times New Roman" w:eastAsia="黑体" w:cs="Times New Roman"/>
      <w:b/>
      <w:sz w:val="30"/>
      <w:szCs w:val="20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日期 Char"/>
    <w:basedOn w:val="8"/>
    <w:link w:val="4"/>
    <w:semiHidden/>
    <w:qFormat/>
    <w:uiPriority w:val="99"/>
    <w:rPr>
      <w:rFonts w:ascii="Tahoma" w:hAnsi="Tahoma" w:eastAsia="仿宋_GB2312" w:cs="Times New Roman"/>
      <w:sz w:val="32"/>
    </w:rPr>
  </w:style>
  <w:style w:type="character" w:customStyle="1" w:styleId="16">
    <w:name w:val="日期 Char1"/>
    <w:basedOn w:val="8"/>
    <w:link w:val="4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EF39A-EA53-44CC-BB85-11D327EB4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1387</Words>
  <Characters>7907</Characters>
  <Lines>65</Lines>
  <Paragraphs>18</Paragraphs>
  <ScaleCrop>false</ScaleCrop>
  <LinksUpToDate>false</LinksUpToDate>
  <CharactersWithSpaces>9276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2018-05-09T07:31:00Z</dcterms:created>
  <dc:creator>User</dc:creator>
  <cp:lastModifiedBy>谢鑫</cp:lastModifiedBy>
  <cp:lastPrinted>2018-10-26T06:49:00Z</cp:lastPrinted>
  <dcterms:modified xsi:type="dcterms:W3CDTF">2018-10-26T07:29:10Z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